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i w:val="0"/>
          <w:color w:val="606070"/>
          <w:sz w:val="18"/>
        </w:rPr>
        <w:t>ecommaze · Online-Marketing-Boutique Memmingen</w:t>
      </w:r>
    </w:p>
    <w:p/>
    <w:p>
      <w:r>
        <w:rPr>
          <w:rFonts w:ascii="Georgia" w:hAnsi="Georgia"/>
          <w:b/>
          <w:color w:val="1A1A2E"/>
          <w:sz w:val="56"/>
        </w:rPr>
        <w:t>Lastenheft</w:t>
      </w:r>
    </w:p>
    <w:p>
      <w:r>
        <w:rPr>
          <w:rFonts w:ascii="Calibri" w:hAnsi="Calibri"/>
          <w:i w:val="0"/>
          <w:color w:val="4F4DFF"/>
          <w:sz w:val="24"/>
        </w:rPr>
        <w:t>Vorlage nach DIN 69905 für B2B-Digitalprojekte</w:t>
      </w:r>
    </w:p>
    <w:p>
      <w:r>
        <w:rPr>
          <w:rFonts w:ascii="Calibri" w:hAnsi="Calibri"/>
          <w:i w:val="0"/>
          <w:sz w:val="20"/>
        </w:rPr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/>
            <w:r>
              <w:rPr>
                <w:rFonts w:ascii="Calibri" w:hAnsi="Calibri"/>
                <w:b/>
                <w:sz w:val="20"/>
              </w:rPr>
              <w:t>Projektname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20"/>
              </w:rPr>
              <w:t>[Bitte eintragen]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b/>
                <w:sz w:val="20"/>
              </w:rPr>
              <w:t>Auftraggeber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20"/>
              </w:rPr>
              <w:t>[Firmenname]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b/>
                <w:sz w:val="20"/>
              </w:rPr>
              <w:t>Projektverantwortlich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20"/>
              </w:rPr>
              <w:t>[Name, Rolle]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b/>
                <w:sz w:val="20"/>
              </w:rPr>
              <w:t>Version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20"/>
              </w:rPr>
              <w:t>1.0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b/>
                <w:sz w:val="20"/>
              </w:rPr>
              <w:t>Stand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20"/>
              </w:rPr>
              <w:t>[Datum]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b/>
                <w:sz w:val="20"/>
              </w:rPr>
              <w:t>Status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20"/>
              </w:rPr>
              <w:t>Entwurf / Final / Freigegeben</w:t>
            </w:r>
          </w:p>
        </w:tc>
      </w:tr>
    </w:tbl>
    <w:p/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Hinweise zur Nutzung</w:t>
      </w:r>
    </w:p>
    <w:p>
      <w:r>
        <w:rPr>
          <w:rFonts w:ascii="Calibri" w:hAnsi="Calibri"/>
          <w:i w:val="0"/>
          <w:sz w:val="20"/>
        </w:rPr>
        <w:t>Diese Vorlage folgt dem Aufbau nach DIN 69905 und ist erprobt in über 30 begleiteten B2B-Digitalprojekten (Web-Relaunch, B2B-Shop, ERP-, CRM-Einführung). Vollständige Anleitung: https://ecommaze.de/blog/lastenheft-erstellen/</w:t>
      </w:r>
    </w:p>
    <w:p>
      <w:r>
        <w:rPr>
          <w:rFonts w:ascii="Calibri" w:hAnsi="Calibri"/>
          <w:i/>
          <w:sz w:val="20"/>
        </w:rPr>
        <w:t>Vorgehen:</w:t>
      </w:r>
    </w:p>
    <w:p>
      <w:r>
        <w:rPr>
          <w:rFonts w:ascii="Calibri" w:hAnsi="Calibri"/>
          <w:sz w:val="20"/>
        </w:rPr>
        <w:t>1. Trage projektspezifische Daten in den Kopfbereich ein.</w:t>
      </w:r>
    </w:p>
    <w:p>
      <w:r>
        <w:rPr>
          <w:rFonts w:ascii="Calibri" w:hAnsi="Calibri"/>
          <w:sz w:val="20"/>
        </w:rPr>
        <w:t>2. Arbeite die Kapitel 1 bis 9 in der vorgegebenen Reihenfolge ab.</w:t>
      </w:r>
    </w:p>
    <w:p>
      <w:r>
        <w:rPr>
          <w:rFonts w:ascii="Calibri" w:hAnsi="Calibri"/>
          <w:sz w:val="20"/>
        </w:rPr>
        <w:t>3. Lösche Hinweis-Texte in eckigen Klammern, wenn dein Inhalt steht.</w:t>
      </w:r>
    </w:p>
    <w:p>
      <w:r>
        <w:rPr>
          <w:rFonts w:ascii="Calibri" w:hAnsi="Calibri"/>
          <w:sz w:val="20"/>
        </w:rPr>
        <w:t>4. Mindestens eine Review-Runde mit allen Stakeholdern, bevor das Dokument an Anbieter geht.</w:t>
      </w:r>
    </w:p>
    <w:p>
      <w:r>
        <w:br w:type="page"/>
      </w:r>
    </w:p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1. Ausgangssituation und Ist-Zustand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1.1 Unternehmen kurz beschrieben</w:t>
      </w:r>
    </w:p>
    <w:p>
      <w:r>
        <w:rPr>
          <w:rFonts w:ascii="Calibri" w:hAnsi="Calibri"/>
          <w:i w:val="0"/>
          <w:sz w:val="20"/>
        </w:rPr>
        <w:t>[Branche, Größe, Standorte, wesentliche Geschäftsmodelle in 5 bis 8 Sätzen]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1.2 Bestehende Systeme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System</w:t>
            </w:r>
          </w:p>
        </w:tc>
        <w:tc>
          <w:tcPr>
            <w:tcW w:type="dxa" w:w="188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Zweck</w:t>
            </w:r>
          </w:p>
        </w:tc>
        <w:tc>
          <w:tcPr>
            <w:tcW w:type="dxa" w:w="188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88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Hersteller</w:t>
            </w:r>
          </w:p>
        </w:tc>
        <w:tc>
          <w:tcPr>
            <w:tcW w:type="dxa" w:w="188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Anbindung</w:t>
            </w:r>
          </w:p>
        </w:tc>
      </w:tr>
      <w:tr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[z. B. SAP Business One]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ERP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[10.0]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SAP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[REST]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[z. B. Sage 100]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Buchhaltung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[9.1]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Sage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[SOAP]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188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</w:tr>
    </w:tbl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1.3 Heutige Prozesse (Pain Points)</w:t>
      </w:r>
    </w:p>
    <w:p>
      <w:pPr>
        <w:pStyle w:val="ListBullet"/>
      </w:pPr>
      <w:r>
        <w:rPr>
          <w:rFonts w:ascii="Calibri" w:hAnsi="Calibri"/>
          <w:sz w:val="20"/>
        </w:rPr>
        <w:t>[Wo entstehen Medienbrüche?]</w:t>
      </w:r>
    </w:p>
    <w:p>
      <w:pPr>
        <w:pStyle w:val="ListBullet"/>
      </w:pPr>
      <w:r>
        <w:rPr>
          <w:rFonts w:ascii="Calibri" w:hAnsi="Calibri"/>
          <w:sz w:val="20"/>
        </w:rPr>
        <w:t>[Welche Daten werden manuell übertragen?]</w:t>
      </w:r>
    </w:p>
    <w:p>
      <w:pPr>
        <w:pStyle w:val="ListBullet"/>
      </w:pPr>
      <w:r>
        <w:rPr>
          <w:rFonts w:ascii="Calibri" w:hAnsi="Calibri"/>
          <w:sz w:val="20"/>
        </w:rPr>
        <w:t>[Wo ist Bearbeitungszeit hoch / Qualität niedrig?]</w:t>
      </w:r>
    </w:p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2. Projektziele und Erfolgskriterien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2.1 Hauptziel</w:t>
      </w:r>
    </w:p>
    <w:p>
      <w:r>
        <w:rPr>
          <w:rFonts w:ascii="Calibri" w:hAnsi="Calibri"/>
          <w:i w:val="0"/>
          <w:sz w:val="20"/>
        </w:rPr>
        <w:t>[Ein Satz, messbar, terminiert. Beispiel: »Bis Q1/2027 eine B2B-Shop-Plattform mit 1.200 Produkten und ERP-Schnittstelle, die die Bearbeitungszeit pro Bestellung um 30 % senkt.«]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2.2 Nebenziele</w:t>
      </w:r>
    </w:p>
    <w:p>
      <w:pPr>
        <w:pStyle w:val="ListBullet"/>
      </w:pPr>
      <w:r>
        <w:rPr>
          <w:rFonts w:ascii="Calibri" w:hAnsi="Calibri"/>
          <w:sz w:val="20"/>
        </w:rPr>
        <w:t>[Nebenziel 1]</w:t>
      </w:r>
    </w:p>
    <w:p>
      <w:pPr>
        <w:pStyle w:val="ListBullet"/>
      </w:pPr>
      <w:r>
        <w:rPr>
          <w:rFonts w:ascii="Calibri" w:hAnsi="Calibri"/>
          <w:sz w:val="20"/>
        </w:rPr>
        <w:t>[Nebenziel 2]</w:t>
      </w:r>
    </w:p>
    <w:p>
      <w:pPr>
        <w:pStyle w:val="ListBullet"/>
      </w:pPr>
      <w:r>
        <w:rPr>
          <w:rFonts w:ascii="Calibri" w:hAnsi="Calibri"/>
          <w:sz w:val="20"/>
        </w:rPr>
        <w:t>[Nebenziel 3]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2.3 Nicht-Ziele (explizit ausgeschlossen)</w:t>
      </w:r>
    </w:p>
    <w:p>
      <w:pPr>
        <w:pStyle w:val="ListBullet"/>
      </w:pPr>
      <w:r>
        <w:rPr>
          <w:rFonts w:ascii="Calibri" w:hAnsi="Calibri"/>
          <w:sz w:val="20"/>
        </w:rPr>
        <w:t>[Was soll dieses Projekt nicht leisten?]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2.4 Erfolgskriterien (messbar)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Kennzahl</w:t>
            </w:r>
          </w:p>
        </w:tc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Heute</w:t>
            </w:r>
          </w:p>
        </w:tc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Ziel</w:t>
            </w:r>
          </w:p>
        </w:tc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Messmethode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[Bearbeitungszeit Bestellung]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[12 Min]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[≤ 8 Min]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[ERP-Auswertung Q2/2027]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</w:tr>
    </w:tbl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3. Funktionale Anforderungen</w:t>
      </w:r>
    </w:p>
    <w:p>
      <w:r>
        <w:rPr>
          <w:rFonts w:ascii="Calibri" w:hAnsi="Calibri"/>
          <w:i/>
          <w:color w:val="606070"/>
          <w:sz w:val="18"/>
        </w:rPr>
        <w:t>Hinweis: Jede Anforderung mit eindeutiger ID, Priorität (MUSS, SOLL, KANN) und Akzeptanzkriterium. Anforderungen wie »benutzerfreundlich« oder »modern« vermeiden — nicht messbar.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Anforderungstabelle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ID</w:t>
            </w:r>
          </w:p>
        </w:tc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Anforderung</w:t>
            </w:r>
          </w:p>
        </w:tc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Priorität</w:t>
            </w:r>
          </w:p>
        </w:tc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Akzeptanzkriterium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F-001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[Suche im Produktkatalog]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MUSS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[Ergebnis innerhalb 800 ms bei 50.000 Produkten]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F-002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[Bestellabwicklung mit ERP-Übergabe]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MUSS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[Bestellung steht innerhalb 30 Sek im ERP, fehlerhafte Übergaben werden geloggt und retried]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F-003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[Mehrsprachigkeit DE/EN/FR]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SOLL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[Sprachumschaltung auf jeder Seite, alle UI-Texte übersetzt]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F-004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[Konfigurator für Variantenartikel]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KANN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[Schritt-für-Schritt-Konfiguration mit Echtzeit-Preis]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</w:tr>
    </w:tbl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4. Nichtfunktionale Anforderungen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4.1 Performance</w:t>
      </w:r>
    </w:p>
    <w:p>
      <w:pPr>
        <w:pStyle w:val="ListBullet"/>
      </w:pPr>
      <w:r>
        <w:rPr>
          <w:rFonts w:ascii="Calibri" w:hAnsi="Calibri"/>
          <w:sz w:val="20"/>
        </w:rPr>
        <w:t>Ladezeit Startseite: ≤ [2,0 s] auf 4G-Mobil</w:t>
      </w:r>
    </w:p>
    <w:p>
      <w:pPr>
        <w:pStyle w:val="ListBullet"/>
      </w:pPr>
      <w:r>
        <w:rPr>
          <w:rFonts w:ascii="Calibri" w:hAnsi="Calibri"/>
          <w:sz w:val="20"/>
        </w:rPr>
        <w:t>API-Antwortzeiten: ≤ [500 ms] im 95-Perzentil</w:t>
      </w:r>
    </w:p>
    <w:p>
      <w:pPr>
        <w:pStyle w:val="ListBullet"/>
      </w:pPr>
      <w:r>
        <w:rPr>
          <w:rFonts w:ascii="Calibri" w:hAnsi="Calibri"/>
          <w:sz w:val="20"/>
        </w:rPr>
        <w:t>Gleichzeitige Nutzer: [200] ohne Performance-Einbußen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4.2 Sicherheit und Datenschutz</w:t>
      </w:r>
    </w:p>
    <w:p>
      <w:pPr>
        <w:pStyle w:val="ListBullet"/>
      </w:pPr>
      <w:r>
        <w:rPr>
          <w:rFonts w:ascii="Calibri" w:hAnsi="Calibri"/>
          <w:sz w:val="20"/>
        </w:rPr>
        <w:t>DSGVO-konforme Datenverarbeitung</w:t>
      </w:r>
    </w:p>
    <w:p>
      <w:pPr>
        <w:pStyle w:val="ListBullet"/>
      </w:pPr>
      <w:r>
        <w:rPr>
          <w:rFonts w:ascii="Calibri" w:hAnsi="Calibri"/>
          <w:sz w:val="20"/>
        </w:rPr>
        <w:t>Verschlüsselung in Transit (TLS 1.3) und at Rest</w:t>
      </w:r>
    </w:p>
    <w:p>
      <w:pPr>
        <w:pStyle w:val="ListBullet"/>
      </w:pPr>
      <w:r>
        <w:rPr>
          <w:rFonts w:ascii="Calibri" w:hAnsi="Calibri"/>
          <w:sz w:val="20"/>
        </w:rPr>
        <w:t>Auditierbare Zugriffsprotokolle, mindestens [180 Tage] vorgehalten</w:t>
      </w:r>
    </w:p>
    <w:p>
      <w:pPr>
        <w:pStyle w:val="ListBullet"/>
      </w:pPr>
      <w:r>
        <w:rPr>
          <w:rFonts w:ascii="Calibri" w:hAnsi="Calibri"/>
          <w:sz w:val="20"/>
        </w:rPr>
        <w:t>Auftragsverarbeitungsvertrag (AVV) mit Anbieter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4.3 Barrierefreiheit</w:t>
      </w:r>
    </w:p>
    <w:p>
      <w:pPr>
        <w:pStyle w:val="ListBullet"/>
      </w:pPr>
      <w:r>
        <w:rPr>
          <w:rFonts w:ascii="Calibri" w:hAnsi="Calibri"/>
          <w:sz w:val="20"/>
        </w:rPr>
        <w:t>BFSG-Konformität (ab 28.06.2025 Pflicht für B2C)</w:t>
      </w:r>
    </w:p>
    <w:p>
      <w:pPr>
        <w:pStyle w:val="ListBullet"/>
      </w:pPr>
      <w:r>
        <w:rPr>
          <w:rFonts w:ascii="Calibri" w:hAnsi="Calibri"/>
          <w:sz w:val="20"/>
        </w:rPr>
        <w:t>WCAG 2.1 AA mindestens</w:t>
      </w:r>
    </w:p>
    <w:p>
      <w:pPr>
        <w:pStyle w:val="ListBullet"/>
      </w:pPr>
      <w:r>
        <w:rPr>
          <w:rFonts w:ascii="Calibri" w:hAnsi="Calibri"/>
          <w:sz w:val="20"/>
        </w:rPr>
        <w:t>Tastatur-Bedienbarkeit, Screenreader-Kompatibilität, Kontrastwerte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4.4 Skalierung und Verfügbarkeit</w:t>
      </w:r>
    </w:p>
    <w:p>
      <w:pPr>
        <w:pStyle w:val="ListBullet"/>
      </w:pPr>
      <w:r>
        <w:rPr>
          <w:rFonts w:ascii="Calibri" w:hAnsi="Calibri"/>
          <w:sz w:val="20"/>
        </w:rPr>
        <w:t>Verfügbarkeit: ≥ [99,5 %] im Monat</w:t>
      </w:r>
    </w:p>
    <w:p>
      <w:pPr>
        <w:pStyle w:val="ListBullet"/>
      </w:pPr>
      <w:r>
        <w:rPr>
          <w:rFonts w:ascii="Calibri" w:hAnsi="Calibri"/>
          <w:sz w:val="20"/>
        </w:rPr>
        <w:t>Skalierbarkeit auf [Faktor 3] Wachstum innerhalb 24 Monaten</w:t>
      </w:r>
    </w:p>
    <w:p>
      <w:pPr>
        <w:pStyle w:val="ListBullet"/>
      </w:pPr>
      <w:r>
        <w:rPr>
          <w:rFonts w:ascii="Calibri" w:hAnsi="Calibri"/>
          <w:sz w:val="20"/>
        </w:rPr>
        <w:t>Disaster-Recovery: RTO ≤ [4 Std], RPO ≤ [1 Std]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4.5 Browser- und Geräte-Kompatibilität</w:t>
      </w:r>
    </w:p>
    <w:p>
      <w:pPr>
        <w:pStyle w:val="ListBullet"/>
      </w:pPr>
      <w:r>
        <w:rPr>
          <w:rFonts w:ascii="Calibri" w:hAnsi="Calibri"/>
          <w:sz w:val="20"/>
        </w:rPr>
        <w:t>Chrome, Firefox, Safari, Edge — aktuelle und vorletzte Major-Version</w:t>
      </w:r>
    </w:p>
    <w:p>
      <w:pPr>
        <w:pStyle w:val="ListBullet"/>
      </w:pPr>
      <w:r>
        <w:rPr>
          <w:rFonts w:ascii="Calibri" w:hAnsi="Calibri"/>
          <w:sz w:val="20"/>
        </w:rPr>
        <w:t>iOS 16+, Android 12+</w:t>
      </w:r>
    </w:p>
    <w:p>
      <w:pPr>
        <w:pStyle w:val="ListBullet"/>
      </w:pPr>
      <w:r>
        <w:rPr>
          <w:rFonts w:ascii="Calibri" w:hAnsi="Calibri"/>
          <w:sz w:val="20"/>
        </w:rPr>
        <w:t>Mindest-Auflösung: 360 × 640</w:t>
      </w:r>
    </w:p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5. Mengengerüst und Datenvolumen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Volumen-Tabelle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Kennzahl</w:t>
            </w:r>
          </w:p>
        </w:tc>
        <w:tc>
          <w:tcPr>
            <w:tcW w:type="dxa" w:w="3135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Wert heute</w:t>
            </w:r>
          </w:p>
        </w:tc>
        <w:tc>
          <w:tcPr>
            <w:tcW w:type="dxa" w:w="3135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Wert in 3 Jahren (erwartet)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Artikel im Katalog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[12.000]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[25.000]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Aktive B2B-Kunden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[180]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[350]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Bestellungen pro Tag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[45]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[120]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Datenvolumen Stammdaten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[800 MB]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[2 GB]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Bilder pro Artikel (Schnitt)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[4]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[6]</w:t>
            </w:r>
          </w:p>
        </w:tc>
      </w:tr>
    </w:tbl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6. Schnittstellen zu Bestandssystemen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Schnittstellen-Tabelle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System</w:t>
            </w:r>
          </w:p>
        </w:tc>
        <w:tc>
          <w:tcPr>
            <w:tcW w:type="dxa" w:w="1568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Richtung</w:t>
            </w:r>
          </w:p>
        </w:tc>
        <w:tc>
          <w:tcPr>
            <w:tcW w:type="dxa" w:w="1568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Inhalt</w:t>
            </w:r>
          </w:p>
        </w:tc>
        <w:tc>
          <w:tcPr>
            <w:tcW w:type="dxa" w:w="1568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Format</w:t>
            </w:r>
          </w:p>
        </w:tc>
        <w:tc>
          <w:tcPr>
            <w:tcW w:type="dxa" w:w="1568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Frequenz</w:t>
            </w:r>
          </w:p>
        </w:tc>
        <w:tc>
          <w:tcPr>
            <w:tcW w:type="dxa" w:w="1568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Fehlerbehandlung</w:t>
            </w:r>
          </w:p>
        </w:tc>
      </w:tr>
      <w:tr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[ERP SAP B1]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Bidirektional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[Artikelstamm, Preise, Bestände]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[REST/JSON]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[Echtzeit + Nacht-Sync]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[Retry 5×, Alert an IT]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[PIM]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Eingehend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[Produkttexte, Bilder]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[CSV-Export]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[stündlich]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[Manuelle Reprozessierung]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[Versanddienstleister]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Ausgehend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[Versandlabel-Anfrage]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[REST/JSON]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[Echtzeit]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[Fallback manuell]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1568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</w:tr>
    </w:tbl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Schnittstellen-Verantwortung</w:t>
      </w:r>
    </w:p>
    <w:p>
      <w:pPr>
        <w:pStyle w:val="ListBullet"/>
      </w:pPr>
      <w:r>
        <w:rPr>
          <w:rFonts w:ascii="Calibri" w:hAnsi="Calibri"/>
          <w:sz w:val="20"/>
        </w:rPr>
        <w:t>[System X]: Anbieter stellt Schnittstelle bereit</w:t>
      </w:r>
    </w:p>
    <w:p>
      <w:pPr>
        <w:pStyle w:val="ListBullet"/>
      </w:pPr>
      <w:r>
        <w:rPr>
          <w:rFonts w:ascii="Calibri" w:hAnsi="Calibri"/>
          <w:sz w:val="20"/>
        </w:rPr>
        <w:t>[System Y]: muss vom Auftragnehmer entwickelt werden</w:t>
      </w:r>
    </w:p>
    <w:p>
      <w:pPr>
        <w:pStyle w:val="ListBullet"/>
      </w:pPr>
      <w:r>
        <w:rPr>
          <w:rFonts w:ascii="Calibri" w:hAnsi="Calibri"/>
          <w:sz w:val="20"/>
        </w:rPr>
        <w:t>[System Z]: bestehende Schnittstelle vom Hersteller (Lizenz vorhanden)</w:t>
      </w:r>
    </w:p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7. Lieferumfang und Abgrenzung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7.1 Enthalten im Lieferumfang</w:t>
      </w:r>
    </w:p>
    <w:p>
      <w:pPr>
        <w:pStyle w:val="ListBullet"/>
      </w:pPr>
      <w:r>
        <w:rPr>
          <w:rFonts w:ascii="Calibri" w:hAnsi="Calibri"/>
          <w:sz w:val="20"/>
        </w:rPr>
        <w:t>[Konzeption und Design]</w:t>
      </w:r>
    </w:p>
    <w:p>
      <w:pPr>
        <w:pStyle w:val="ListBullet"/>
      </w:pPr>
      <w:r>
        <w:rPr>
          <w:rFonts w:ascii="Calibri" w:hAnsi="Calibri"/>
          <w:sz w:val="20"/>
        </w:rPr>
        <w:t>[Entwicklung und Programmierung]</w:t>
      </w:r>
    </w:p>
    <w:p>
      <w:pPr>
        <w:pStyle w:val="ListBullet"/>
      </w:pPr>
      <w:r>
        <w:rPr>
          <w:rFonts w:ascii="Calibri" w:hAnsi="Calibri"/>
          <w:sz w:val="20"/>
        </w:rPr>
        <w:t>[Schnittstellen-Implementierung]</w:t>
      </w:r>
    </w:p>
    <w:p>
      <w:pPr>
        <w:pStyle w:val="ListBullet"/>
      </w:pPr>
      <w:r>
        <w:rPr>
          <w:rFonts w:ascii="Calibri" w:hAnsi="Calibri"/>
          <w:sz w:val="20"/>
        </w:rPr>
        <w:t>[Migration der Bestandsdaten aus System X]</w:t>
      </w:r>
    </w:p>
    <w:p>
      <w:pPr>
        <w:pStyle w:val="ListBullet"/>
      </w:pPr>
      <w:r>
        <w:rPr>
          <w:rFonts w:ascii="Calibri" w:hAnsi="Calibri"/>
          <w:sz w:val="20"/>
        </w:rPr>
        <w:t>[Schulung 2 × 2 Stunden für Key-User]</w:t>
      </w:r>
    </w:p>
    <w:p>
      <w:pPr>
        <w:pStyle w:val="ListBullet"/>
      </w:pPr>
      <w:r>
        <w:rPr>
          <w:rFonts w:ascii="Calibri" w:hAnsi="Calibri"/>
          <w:sz w:val="20"/>
        </w:rPr>
        <w:t>[Hosting im ersten Jahr]</w:t>
      </w:r>
    </w:p>
    <w:p>
      <w:pPr>
        <w:pStyle w:val="ListBullet"/>
      </w:pPr>
      <w:r>
        <w:rPr>
          <w:rFonts w:ascii="Calibri" w:hAnsi="Calibri"/>
          <w:sz w:val="20"/>
        </w:rPr>
        <w:t>[Wartung und Bugfixes im ersten Jahr]</w:t>
      </w:r>
    </w:p>
    <w:p>
      <w:pPr>
        <w:pStyle w:val="ListBullet"/>
      </w:pPr>
      <w:r>
        <w:rPr>
          <w:rFonts w:ascii="Calibri" w:hAnsi="Calibri"/>
          <w:sz w:val="20"/>
        </w:rPr>
        <w:t>[Dokumentation in deutscher Sprache]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7.2 Nicht enthalten (separat oder nicht Teil des Vorhabens)</w:t>
      </w:r>
    </w:p>
    <w:p>
      <w:pPr>
        <w:pStyle w:val="ListBullet"/>
      </w:pPr>
      <w:r>
        <w:rPr>
          <w:rFonts w:ascii="Calibri" w:hAnsi="Calibri"/>
          <w:sz w:val="20"/>
        </w:rPr>
        <w:t>[Erstellung von Produkttexten und Bildern]</w:t>
      </w:r>
    </w:p>
    <w:p>
      <w:pPr>
        <w:pStyle w:val="ListBullet"/>
      </w:pPr>
      <w:r>
        <w:rPr>
          <w:rFonts w:ascii="Calibri" w:hAnsi="Calibri"/>
          <w:sz w:val="20"/>
        </w:rPr>
        <w:t>[SEO-Migration und Redirect-Setup]</w:t>
      </w:r>
    </w:p>
    <w:p>
      <w:pPr>
        <w:pStyle w:val="ListBullet"/>
      </w:pPr>
      <w:r>
        <w:rPr>
          <w:rFonts w:ascii="Calibri" w:hAnsi="Calibri"/>
          <w:sz w:val="20"/>
        </w:rPr>
        <w:t>[E-Mail-Marketing-Integration über das Standard-Maß hinaus]</w:t>
      </w:r>
    </w:p>
    <w:p>
      <w:pPr>
        <w:pStyle w:val="ListBullet"/>
      </w:pPr>
      <w:r>
        <w:rPr>
          <w:rFonts w:ascii="Calibri" w:hAnsi="Calibri"/>
          <w:sz w:val="20"/>
        </w:rPr>
        <w:t>[Schulung der Endkunden]</w:t>
      </w:r>
    </w:p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8. Termin- und Meilenstein-Plan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Meilenstein-Tabelle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Meilenstein</w:t>
            </w:r>
          </w:p>
        </w:tc>
        <w:tc>
          <w:tcPr>
            <w:tcW w:type="dxa" w:w="3135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Termin</w:t>
            </w:r>
          </w:p>
        </w:tc>
        <w:tc>
          <w:tcPr>
            <w:tcW w:type="dxa" w:w="3135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Lastenheft final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[Datum]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offen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Anbieter-Ausschreibung versendet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[Datum]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offen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Anbieter-Auswahl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[Datum]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offen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Pflichtenheft vom Anbieter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[Datum]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offen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Kick-Off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[Datum]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offen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Erste Iteration (Alpha)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[Datum]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offen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Test-Migration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[Datum]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offen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Go-Live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[Datum]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offen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Garantie-Ende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[Datum + 12 Monate]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offen</w:t>
            </w:r>
          </w:p>
        </w:tc>
      </w:tr>
    </w:tbl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Harte Deadlines (nicht verhandelbar)</w:t>
      </w:r>
    </w:p>
    <w:p>
      <w:r>
        <w:rPr>
          <w:rFonts w:ascii="Calibri" w:hAnsi="Calibri"/>
          <w:i w:val="0"/>
          <w:sz w:val="20"/>
        </w:rPr>
        <w:t>[z. B. Messe-Launch im März, Lizenz-Auslauf Bestandssystem, Geschäftsjahres-Wechsel]</w:t>
      </w:r>
    </w:p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9. Akzeptanz- und Abnahmekriterien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9.1 Abnahme-Prozess</w:t>
      </w:r>
    </w:p>
    <w:p>
      <w:pPr>
        <w:pStyle w:val="ListBullet"/>
      </w:pPr>
      <w:r>
        <w:rPr>
          <w:rFonts w:ascii="Calibri" w:hAnsi="Calibri"/>
          <w:sz w:val="20"/>
        </w:rPr>
        <w:t>Funktionaler Abnahmetest gegen die Akzeptanzkriterien aus Kapitel 3</w:t>
      </w:r>
    </w:p>
    <w:p>
      <w:pPr>
        <w:pStyle w:val="ListBullet"/>
      </w:pPr>
      <w:r>
        <w:rPr>
          <w:rFonts w:ascii="Calibri" w:hAnsi="Calibri"/>
          <w:sz w:val="20"/>
        </w:rPr>
        <w:t>Performance-Test gegen Werte aus Kapitel 4</w:t>
      </w:r>
    </w:p>
    <w:p>
      <w:pPr>
        <w:pStyle w:val="ListBullet"/>
      </w:pPr>
      <w:r>
        <w:rPr>
          <w:rFonts w:ascii="Calibri" w:hAnsi="Calibri"/>
          <w:sz w:val="20"/>
        </w:rPr>
        <w:t>Schnittstellen-Test gegen Spezifikation aus Kapitel 6</w:t>
      </w:r>
    </w:p>
    <w:p>
      <w:pPr>
        <w:pStyle w:val="ListBullet"/>
      </w:pPr>
      <w:r>
        <w:rPr>
          <w:rFonts w:ascii="Calibri" w:hAnsi="Calibri"/>
          <w:sz w:val="20"/>
        </w:rPr>
        <w:t>User-Acceptance-Test mit drei Key-Usern über 5 Werktage</w:t>
      </w:r>
    </w:p>
    <w:p>
      <w:pPr>
        <w:pStyle w:val="ListBullet"/>
      </w:pPr>
      <w:r>
        <w:rPr>
          <w:rFonts w:ascii="Calibri" w:hAnsi="Calibri"/>
          <w:sz w:val="20"/>
        </w:rPr>
        <w:t>Abnahmeprotokoll mit Unterschrift Auftraggeber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9.2 Mängelkategorien</w:t>
      </w:r>
    </w:p>
    <w:p>
      <w:pPr>
        <w:pStyle w:val="ListBullet"/>
      </w:pPr>
      <w:r>
        <w:rPr>
          <w:rFonts w:ascii="Calibri" w:hAnsi="Calibri"/>
          <w:sz w:val="20"/>
        </w:rPr>
        <w:t>Schwerwiegend (A): Kerngeschäft betroffen, sofortige Behebung erforderlich</w:t>
      </w:r>
    </w:p>
    <w:p>
      <w:pPr>
        <w:pStyle w:val="ListBullet"/>
      </w:pPr>
      <w:r>
        <w:rPr>
          <w:rFonts w:ascii="Calibri" w:hAnsi="Calibri"/>
          <w:sz w:val="20"/>
        </w:rPr>
        <w:t>Wesentlich (B): Funktion eingeschränkt, Behebung innerhalb 5 Werktagen</w:t>
      </w:r>
    </w:p>
    <w:p>
      <w:pPr>
        <w:pStyle w:val="ListBullet"/>
      </w:pPr>
      <w:r>
        <w:rPr>
          <w:rFonts w:ascii="Calibri" w:hAnsi="Calibri"/>
          <w:sz w:val="20"/>
        </w:rPr>
        <w:t>Geringfügig (C): Komfort-Einschränkung, Behebung im nächsten Release</w:t>
      </w:r>
    </w:p>
    <w:p>
      <w:pPr>
        <w:spacing w:before="240" w:after="80"/>
      </w:pPr>
      <w:r>
        <w:rPr>
          <w:rFonts w:ascii="Calibri" w:hAnsi="Calibri"/>
          <w:b/>
          <w:color w:val="1A1A2E"/>
          <w:sz w:val="24"/>
        </w:rPr>
        <w:t>9.3 Garantie</w:t>
      </w:r>
    </w:p>
    <w:p>
      <w:r>
        <w:rPr>
          <w:rFonts w:ascii="Calibri" w:hAnsi="Calibri"/>
          <w:i w:val="0"/>
          <w:sz w:val="20"/>
        </w:rPr>
        <w:t>Garantie-Zeitraum: [12 Monate] nach Go-Live, kostenlose Behebung von A- und B-Mängeln innerhalb der oben definierten Reaktionszeiten.</w:t>
      </w:r>
    </w:p>
    <w:p>
      <w:r>
        <w:br w:type="page"/>
      </w:r>
    </w:p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Anhang A — Glossar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Begriff</w:t>
            </w:r>
          </w:p>
        </w:tc>
        <w:tc>
          <w:tcPr>
            <w:tcW w:type="dxa" w:w="4703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Definition (projektspezifisch)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[Kunde]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[B2B-Geschäftskunde mit eigenem Account, Abgrenzung zu »Endkunde«]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[Bestellung]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[Verbindlicher Auftrag mit Zahlungsversprechen, Abgrenzung zu »Warenkorb« und »Anfrage«]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</w:tr>
    </w:tbl>
    <w:p/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Anhang B — Risikoeinschätzung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Risiko</w:t>
            </w:r>
          </w:p>
        </w:tc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Eintrittswahrscheinlichkeit</w:t>
            </w:r>
          </w:p>
        </w:tc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Auswirkung</w:t>
            </w:r>
          </w:p>
        </w:tc>
        <w:tc>
          <w:tcPr>
            <w:tcW w:type="dxa" w:w="2351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Gegenmaßnahme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[ERP-Schnittstelle komplexer als angenommen]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Mittel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Hoch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[Vor Auftragsvergabe Proof-of-Concept]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[Stammdatenqualität unzureichend]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Hoch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Mittel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[Datenbereinigung vor Migration]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...</w:t>
            </w:r>
          </w:p>
        </w:tc>
      </w:tr>
    </w:tbl>
    <w:p/>
    <w:p>
      <w:pPr>
        <w:spacing w:before="360" w:after="160"/>
      </w:pPr>
      <w:r>
        <w:rPr>
          <w:rFonts w:ascii="Georgia" w:hAnsi="Georgia"/>
          <w:b/>
          <w:color w:val="4F4DFF"/>
          <w:sz w:val="32"/>
        </w:rPr>
        <w:t>Anhang C — Vergabeprozess und Bewertungsmatrix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Kriterium</w:t>
            </w:r>
          </w:p>
        </w:tc>
        <w:tc>
          <w:tcPr>
            <w:tcW w:type="dxa" w:w="3135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Gewicht</w:t>
            </w:r>
          </w:p>
        </w:tc>
        <w:tc>
          <w:tcPr>
            <w:tcW w:type="dxa" w:w="3135"/>
            <w:shd w:val="clear" w:color="auto" w:fill="4F4DFF"/>
          </w:tcPr>
          <w:p>
            <w:r/>
            <w:r>
              <w:rPr>
                <w:rFonts w:ascii="Calibri" w:hAnsi="Calibri"/>
                <w:b/>
                <w:color w:val="FFFFFF"/>
                <w:sz w:val="20"/>
              </w:rPr>
              <w:t>Maximal-Punkte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Fachliche Eignung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30 %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30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Referenzen vergleichbarer Projekte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20 %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20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Methodik und Vorgehensweise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15 %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15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Termin-Realismus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10 %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10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Preis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20 %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20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Sympathie / Zusammenarbeit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5 %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5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Gesamt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100 %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100</w:t>
            </w:r>
          </w:p>
        </w:tc>
      </w:tr>
    </w:tbl>
    <w:p/>
    <w:p/>
    <w:p>
      <w:r>
        <w:rPr>
          <w:rFonts w:ascii="Calibri" w:hAnsi="Calibri"/>
          <w:i/>
          <w:color w:val="606070"/>
          <w:sz w:val="16"/>
        </w:rPr>
        <w:t>Diese Vorlage ist Teil des Pillar-Leitfadens »Lastenheft erstellen« von ecommaze (ecommaze.de/blog/lastenheft-erstellen/). Kostenlose interne Nutzung erlaubt, keine kommerzielle Weiterveräußerung. Bei Fragen: info@ecommaze.de · +49 151 25207825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